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濠江区</w:t>
      </w:r>
      <w:r>
        <w:rPr>
          <w:rFonts w:hint="eastAsia" w:ascii="仿宋" w:hAnsi="仿宋" w:eastAsia="仿宋"/>
          <w:sz w:val="44"/>
          <w:szCs w:val="44"/>
          <w:lang w:val="en-US" w:eastAsia="zh-CN"/>
        </w:rPr>
        <w:t>2017年预算</w:t>
      </w:r>
      <w:bookmarkStart w:id="0" w:name="_GoBack"/>
      <w:bookmarkEnd w:id="0"/>
      <w:r>
        <w:rPr>
          <w:rFonts w:hint="eastAsia" w:ascii="仿宋" w:hAnsi="仿宋" w:eastAsia="仿宋"/>
          <w:sz w:val="44"/>
          <w:szCs w:val="44"/>
        </w:rPr>
        <w:t>绩效工作推进情况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2017年继续加强绩效目标管理，提高项目绩效。预算编制过程中,要求各单位进一步增强绩效观念和责任意识，积极组织项目实施和绩效管理，切实提高财政资金使用效益。接下来将逐步</w:t>
      </w:r>
      <w:r>
        <w:rPr>
          <w:rFonts w:hint="eastAsia" w:ascii="仿宋" w:hAnsi="仿宋" w:eastAsia="仿宋" w:cs="仿宋"/>
          <w:sz w:val="32"/>
          <w:szCs w:val="32"/>
        </w:rPr>
        <w:t>完善制度建设，规范评价程序，探索建立部门、单位对财政支出使用情况自评、财政部门抽选复核制度，相应建立、完善绩效评价体系，将预算绩效的理念引入到财政支出管理中，使预算管理模式从投入控制预算转到效果导向预算，提升财政资金绩效。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697"/>
    <w:rsid w:val="00A04318"/>
    <w:rsid w:val="00A71697"/>
    <w:rsid w:val="00C254D1"/>
    <w:rsid w:val="00DE5598"/>
    <w:rsid w:val="0757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2018-03-21T07:45:00Z</dcterms:created>
  <dc:creator>陈丽娜</dc:creator>
  <cp:lastModifiedBy>Administrator</cp:lastModifiedBy>
  <cp:lastPrinted>2018-04-08T08:33:37Z</cp:lastPrinted>
  <dcterms:modified xsi:type="dcterms:W3CDTF">2018-04-08T08:35:39Z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